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141A32" w:rsidRPr="002F3AC6" w14:paraId="22F0B8FD" w14:textId="77777777" w:rsidTr="00301A56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C67EC" w14:textId="77777777" w:rsidR="00141A32" w:rsidRPr="002F3AC6" w:rsidRDefault="00141A32" w:rsidP="00301A56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F3AC6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7489B6" wp14:editId="3BD3DEBD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BB78D" w14:textId="77777777" w:rsidR="00141A32" w:rsidRPr="002F3AC6" w:rsidRDefault="00141A32" w:rsidP="00301A56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Commonwealth</w:t>
            </w:r>
          </w:p>
          <w:p w14:paraId="4C6D8EDD" w14:textId="77777777" w:rsidR="00141A32" w:rsidRPr="002F3AC6" w:rsidRDefault="00141A32" w:rsidP="00301A56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8AD4" w14:textId="77777777" w:rsidR="00141A32" w:rsidRPr="002F3AC6" w:rsidRDefault="00141A32" w:rsidP="00301A56">
            <w:pPr>
              <w:keepNext/>
              <w:widowControl w:val="0"/>
              <w:tabs>
                <w:tab w:val="left" w:pos="851"/>
              </w:tabs>
              <w:spacing w:before="120"/>
              <w:jc w:val="center"/>
              <w:outlineLvl w:val="5"/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</w:pPr>
            <w:r w:rsidRPr="002F3AC6"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  <w:t xml:space="preserve">        Gazette</w:t>
            </w:r>
          </w:p>
        </w:tc>
      </w:tr>
      <w:tr w:rsidR="00141A32" w:rsidRPr="002F3AC6" w14:paraId="5D6188D2" w14:textId="77777777" w:rsidTr="00301A56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590D0" w14:textId="77777777" w:rsidR="00141A32" w:rsidRPr="00E52EEC" w:rsidRDefault="00141A32" w:rsidP="00301A56">
            <w:pPr>
              <w:widowControl w:val="0"/>
              <w:tabs>
                <w:tab w:val="left" w:pos="851"/>
              </w:tabs>
              <w:spacing w:before="40"/>
              <w:rPr>
                <w:rFonts w:eastAsia="Times New Roman" w:cs="Times New Roman"/>
                <w:sz w:val="20"/>
                <w:szCs w:val="20"/>
              </w:rPr>
            </w:pPr>
            <w:r w:rsidRPr="002F3AC6">
              <w:rPr>
                <w:rFonts w:eastAsia="Times New Roman" w:cs="Times New Roman"/>
                <w:sz w:val="20"/>
                <w:szCs w:val="20"/>
              </w:rPr>
              <w:t xml:space="preserve">No. FSC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140 Thursday 22 </w:t>
            </w:r>
            <w:r w:rsidR="00365779">
              <w:rPr>
                <w:rFonts w:eastAsia="Times New Roman" w:cs="Times New Roman"/>
                <w:sz w:val="20"/>
                <w:szCs w:val="20"/>
              </w:rPr>
              <w:t>April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2021</w:t>
            </w:r>
          </w:p>
          <w:p w14:paraId="72C1394D" w14:textId="77777777" w:rsidR="00141A32" w:rsidRPr="002F3AC6" w:rsidRDefault="00141A32" w:rsidP="00301A56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18"/>
                <w:szCs w:val="20"/>
              </w:rPr>
            </w:pPr>
            <w:r w:rsidRPr="002F3AC6">
              <w:rPr>
                <w:rFonts w:eastAsia="Times New Roman" w:cs="Times New Roman"/>
                <w:sz w:val="18"/>
                <w:szCs w:val="20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9C03295" w14:textId="77777777" w:rsidR="00141A32" w:rsidRPr="002F3AC6" w:rsidRDefault="00141A32" w:rsidP="00301A56">
            <w:pPr>
              <w:widowControl w:val="0"/>
              <w:tabs>
                <w:tab w:val="left" w:pos="851"/>
              </w:tabs>
              <w:jc w:val="center"/>
              <w:outlineLvl w:val="3"/>
              <w:rPr>
                <w:rFonts w:ascii="Helvetica" w:eastAsia="Times New Roman" w:hAnsi="Helvetica" w:cs="Times New Roman"/>
                <w:b/>
                <w:sz w:val="32"/>
                <w:szCs w:val="20"/>
              </w:rPr>
            </w:pPr>
            <w:r w:rsidRPr="002F3AC6">
              <w:rPr>
                <w:rFonts w:ascii="Helvetica" w:eastAsia="Times New Roman" w:hAnsi="Helvetica" w:cs="Times New Roman"/>
                <w:b/>
                <w:sz w:val="32"/>
                <w:szCs w:val="20"/>
              </w:rPr>
              <w:t>Food Standards</w:t>
            </w:r>
          </w:p>
        </w:tc>
      </w:tr>
    </w:tbl>
    <w:p w14:paraId="01CAC286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5A95472D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2BD8618B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2722D3F6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7E2A3C43" w14:textId="04BFA71D" w:rsidR="00141A32" w:rsidRPr="002F3AC6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 xml:space="preserve">Amendment No. </w:t>
      </w:r>
      <w:r>
        <w:rPr>
          <w:rFonts w:eastAsia="Times New Roman" w:cs="Times New Roman"/>
          <w:b/>
          <w:bCs/>
          <w:sz w:val="32"/>
          <w:szCs w:val="32"/>
        </w:rPr>
        <w:t>19</w:t>
      </w:r>
      <w:r w:rsidR="00FB73FC">
        <w:rPr>
          <w:rFonts w:eastAsia="Times New Roman" w:cs="Times New Roman"/>
          <w:b/>
          <w:bCs/>
          <w:sz w:val="32"/>
          <w:szCs w:val="32"/>
        </w:rPr>
        <w:t>9</w:t>
      </w:r>
    </w:p>
    <w:p w14:paraId="3556C383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  <w:r w:rsidRPr="002F3AC6">
        <w:rPr>
          <w:rFonts w:eastAsia="Times New Roman" w:cs="Times New Roman"/>
          <w:sz w:val="20"/>
          <w:szCs w:val="20"/>
        </w:rPr>
        <w:t>The following instruments are separate instruments in the Federal Register of Legislation and are known collectively in the Food Stan</w:t>
      </w:r>
      <w:r>
        <w:rPr>
          <w:rFonts w:eastAsia="Times New Roman" w:cs="Times New Roman"/>
          <w:sz w:val="20"/>
          <w:szCs w:val="20"/>
        </w:rPr>
        <w:t>dards Gazette as Amendment No.199</w:t>
      </w:r>
      <w:r w:rsidRPr="002F3AC6">
        <w:rPr>
          <w:rFonts w:eastAsia="Times New Roman" w:cs="Times New Roman"/>
          <w:sz w:val="20"/>
          <w:szCs w:val="20"/>
        </w:rPr>
        <w:t>.</w:t>
      </w:r>
    </w:p>
    <w:p w14:paraId="5C974517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32426EA7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399BDAB4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Table of contents</w:t>
      </w:r>
    </w:p>
    <w:p w14:paraId="2B2203A8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52F31CD2" w14:textId="77777777" w:rsidR="00141A32" w:rsidRDefault="00141A32" w:rsidP="00141A32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53A5877E" w14:textId="4ADBCAE0" w:rsidR="00D5526B" w:rsidRPr="00070A32" w:rsidRDefault="00141A32" w:rsidP="00301A56">
      <w:pPr>
        <w:pStyle w:val="ListParagraph"/>
        <w:widowControl w:val="0"/>
        <w:numPr>
          <w:ilvl w:val="0"/>
          <w:numId w:val="14"/>
        </w:numPr>
        <w:tabs>
          <w:tab w:val="left" w:pos="851"/>
        </w:tabs>
        <w:rPr>
          <w:b/>
        </w:rPr>
      </w:pPr>
      <w:r w:rsidRPr="00141A32">
        <w:rPr>
          <w:b/>
        </w:rPr>
        <w:t xml:space="preserve">Food </w:t>
      </w:r>
      <w:r w:rsidRPr="00070A32">
        <w:rPr>
          <w:b/>
        </w:rPr>
        <w:t xml:space="preserve">Standards </w:t>
      </w:r>
      <w:r w:rsidR="00070A32" w:rsidRPr="00070A32">
        <w:rPr>
          <w:b/>
        </w:rPr>
        <w:t xml:space="preserve">(Application A1191 – Mono- and diglycerides of fatty acids (INS 471) as glazing agent for fruits and vegetables) </w:t>
      </w:r>
      <w:r w:rsidR="00070A32">
        <w:rPr>
          <w:rFonts w:cs="Arial"/>
          <w:b/>
        </w:rPr>
        <w:t>Variation</w:t>
      </w:r>
    </w:p>
    <w:p w14:paraId="48E3A61E" w14:textId="4D2B02E8" w:rsidR="009F7EBD" w:rsidRPr="00070A32" w:rsidRDefault="00141A32" w:rsidP="00301A56">
      <w:pPr>
        <w:pStyle w:val="ListParagraph"/>
        <w:widowControl w:val="0"/>
        <w:numPr>
          <w:ilvl w:val="0"/>
          <w:numId w:val="14"/>
        </w:numPr>
        <w:tabs>
          <w:tab w:val="left" w:pos="851"/>
        </w:tabs>
      </w:pPr>
      <w:r w:rsidRPr="00070A32">
        <w:rPr>
          <w:b/>
        </w:rPr>
        <w:t xml:space="preserve">Food Standards </w:t>
      </w:r>
      <w:r w:rsidR="00070A32">
        <w:rPr>
          <w:b/>
        </w:rPr>
        <w:t xml:space="preserve">(Application </w:t>
      </w:r>
      <w:r w:rsidR="00070A32" w:rsidRPr="00070A32">
        <w:rPr>
          <w:b/>
        </w:rPr>
        <w:t>A1202 –</w:t>
      </w:r>
      <w:r w:rsidR="00070A32" w:rsidRPr="00070A32">
        <w:t xml:space="preserve"> </w:t>
      </w:r>
      <w:r w:rsidR="00070A32" w:rsidRPr="00070A32">
        <w:rPr>
          <w:b/>
        </w:rPr>
        <w:t xml:space="preserve">Food derived from </w:t>
      </w:r>
      <w:r w:rsidR="00070A32" w:rsidRPr="00070A32">
        <w:rPr>
          <w:b/>
          <w:bCs/>
        </w:rPr>
        <w:t>herbicide-tolerant and insect-protected corn</w:t>
      </w:r>
      <w:r w:rsidR="00070A32" w:rsidRPr="00070A32">
        <w:rPr>
          <w:b/>
        </w:rPr>
        <w:t xml:space="preserve"> line </w:t>
      </w:r>
      <w:r w:rsidR="00070A32" w:rsidRPr="00070A32">
        <w:rPr>
          <w:b/>
          <w:bCs/>
        </w:rPr>
        <w:t>DP23211</w:t>
      </w:r>
      <w:r w:rsidR="00070A32">
        <w:rPr>
          <w:b/>
        </w:rPr>
        <w:t>)</w:t>
      </w:r>
      <w:r w:rsidR="00070A32" w:rsidRPr="00070A32">
        <w:rPr>
          <w:b/>
        </w:rPr>
        <w:t xml:space="preserve"> Variation</w:t>
      </w:r>
    </w:p>
    <w:p w14:paraId="6068A397" w14:textId="77777777" w:rsidR="009F7EBD" w:rsidRDefault="009F7EBD" w:rsidP="009F7EBD">
      <w:pPr>
        <w:widowControl w:val="0"/>
        <w:tabs>
          <w:tab w:val="left" w:pos="851"/>
        </w:tabs>
      </w:pPr>
    </w:p>
    <w:p w14:paraId="2958B7C4" w14:textId="77777777" w:rsidR="009F7EBD" w:rsidRDefault="009F7EBD" w:rsidP="009F7EBD">
      <w:pPr>
        <w:widowControl w:val="0"/>
        <w:tabs>
          <w:tab w:val="left" w:pos="851"/>
        </w:tabs>
      </w:pPr>
    </w:p>
    <w:p w14:paraId="4B8EA0DC" w14:textId="77777777" w:rsidR="009F7EBD" w:rsidRDefault="009F7EBD" w:rsidP="009F7EBD">
      <w:pPr>
        <w:widowControl w:val="0"/>
        <w:tabs>
          <w:tab w:val="left" w:pos="851"/>
        </w:tabs>
      </w:pPr>
    </w:p>
    <w:p w14:paraId="39BDFCC7" w14:textId="77777777" w:rsidR="009F7EBD" w:rsidRDefault="009F7EBD" w:rsidP="009F7EBD">
      <w:pPr>
        <w:widowControl w:val="0"/>
        <w:tabs>
          <w:tab w:val="left" w:pos="851"/>
        </w:tabs>
      </w:pPr>
    </w:p>
    <w:p w14:paraId="48972480" w14:textId="77777777" w:rsidR="009F7EBD" w:rsidRDefault="009F7EBD" w:rsidP="009F7EBD">
      <w:pPr>
        <w:widowControl w:val="0"/>
        <w:tabs>
          <w:tab w:val="left" w:pos="851"/>
        </w:tabs>
      </w:pPr>
    </w:p>
    <w:p w14:paraId="696023E8" w14:textId="77777777" w:rsidR="009F7EBD" w:rsidRDefault="009F7EBD" w:rsidP="009F7EBD">
      <w:pPr>
        <w:widowControl w:val="0"/>
        <w:tabs>
          <w:tab w:val="left" w:pos="851"/>
        </w:tabs>
      </w:pPr>
    </w:p>
    <w:p w14:paraId="284E5A38" w14:textId="77777777" w:rsidR="009F7EBD" w:rsidRDefault="009F7EBD" w:rsidP="009F7EBD">
      <w:pPr>
        <w:widowControl w:val="0"/>
        <w:tabs>
          <w:tab w:val="left" w:pos="851"/>
        </w:tabs>
      </w:pPr>
    </w:p>
    <w:p w14:paraId="60E7CF23" w14:textId="77777777" w:rsidR="009F7EBD" w:rsidRDefault="009F7EBD" w:rsidP="009F7EBD">
      <w:pPr>
        <w:widowControl w:val="0"/>
        <w:tabs>
          <w:tab w:val="left" w:pos="851"/>
        </w:tabs>
      </w:pPr>
    </w:p>
    <w:p w14:paraId="380265C8" w14:textId="77777777" w:rsidR="009F7EBD" w:rsidRDefault="009F7EBD" w:rsidP="009F7EBD">
      <w:pPr>
        <w:widowControl w:val="0"/>
        <w:tabs>
          <w:tab w:val="left" w:pos="851"/>
        </w:tabs>
      </w:pPr>
    </w:p>
    <w:p w14:paraId="4F076AFE" w14:textId="77777777" w:rsidR="009F7EBD" w:rsidRDefault="009F7EBD" w:rsidP="009F7EBD">
      <w:pPr>
        <w:widowControl w:val="0"/>
        <w:tabs>
          <w:tab w:val="left" w:pos="851"/>
        </w:tabs>
      </w:pPr>
    </w:p>
    <w:p w14:paraId="6AA07B19" w14:textId="77777777" w:rsidR="009F7EBD" w:rsidRDefault="009F7EBD" w:rsidP="009F7EBD">
      <w:pPr>
        <w:widowControl w:val="0"/>
        <w:tabs>
          <w:tab w:val="left" w:pos="851"/>
        </w:tabs>
      </w:pPr>
    </w:p>
    <w:p w14:paraId="299F4C58" w14:textId="77777777" w:rsidR="009F7EBD" w:rsidRDefault="009F7EBD" w:rsidP="009F7EBD">
      <w:pPr>
        <w:widowControl w:val="0"/>
        <w:tabs>
          <w:tab w:val="left" w:pos="851"/>
        </w:tabs>
      </w:pPr>
    </w:p>
    <w:p w14:paraId="5F4092C6" w14:textId="77777777" w:rsidR="009F7EBD" w:rsidRDefault="009F7EBD" w:rsidP="009F7EBD">
      <w:pPr>
        <w:widowControl w:val="0"/>
        <w:tabs>
          <w:tab w:val="left" w:pos="851"/>
        </w:tabs>
      </w:pPr>
    </w:p>
    <w:p w14:paraId="4B4BA8B8" w14:textId="77777777" w:rsidR="009F7EBD" w:rsidRDefault="009F7EBD" w:rsidP="009F7EBD">
      <w:pPr>
        <w:widowControl w:val="0"/>
        <w:tabs>
          <w:tab w:val="left" w:pos="851"/>
        </w:tabs>
      </w:pPr>
    </w:p>
    <w:p w14:paraId="30947F2D" w14:textId="77777777" w:rsidR="009F7EBD" w:rsidRDefault="009F7EBD" w:rsidP="009F7EBD">
      <w:pPr>
        <w:widowControl w:val="0"/>
        <w:tabs>
          <w:tab w:val="left" w:pos="851"/>
        </w:tabs>
      </w:pPr>
    </w:p>
    <w:p w14:paraId="4BDF9D24" w14:textId="77777777" w:rsidR="009F7EBD" w:rsidRDefault="009F7EBD" w:rsidP="009F7EBD">
      <w:pPr>
        <w:widowControl w:val="0"/>
        <w:tabs>
          <w:tab w:val="left" w:pos="851"/>
        </w:tabs>
      </w:pPr>
    </w:p>
    <w:p w14:paraId="5C9C45F8" w14:textId="77777777" w:rsidR="009F7EBD" w:rsidRDefault="009F7EBD" w:rsidP="009F7EBD">
      <w:pPr>
        <w:widowControl w:val="0"/>
        <w:tabs>
          <w:tab w:val="left" w:pos="851"/>
        </w:tabs>
      </w:pPr>
    </w:p>
    <w:p w14:paraId="72351767" w14:textId="77777777" w:rsidR="009F7EBD" w:rsidRDefault="009F7EBD" w:rsidP="009F7EBD">
      <w:pPr>
        <w:widowControl w:val="0"/>
        <w:tabs>
          <w:tab w:val="left" w:pos="851"/>
        </w:tabs>
      </w:pPr>
    </w:p>
    <w:p w14:paraId="79CFC23A" w14:textId="77777777" w:rsidR="009F7EBD" w:rsidRDefault="009F7EBD" w:rsidP="009F7EBD">
      <w:pPr>
        <w:widowControl w:val="0"/>
        <w:tabs>
          <w:tab w:val="left" w:pos="851"/>
        </w:tabs>
      </w:pPr>
    </w:p>
    <w:p w14:paraId="325B15FF" w14:textId="77777777" w:rsidR="009F7EBD" w:rsidRDefault="009F7EBD" w:rsidP="009F7EBD">
      <w:pPr>
        <w:widowControl w:val="0"/>
        <w:tabs>
          <w:tab w:val="left" w:pos="851"/>
        </w:tabs>
      </w:pPr>
    </w:p>
    <w:p w14:paraId="6B6792E7" w14:textId="77777777" w:rsidR="009F7EBD" w:rsidRDefault="009F7EBD" w:rsidP="009F7EBD">
      <w:pPr>
        <w:widowControl w:val="0"/>
        <w:tabs>
          <w:tab w:val="left" w:pos="851"/>
        </w:tabs>
      </w:pPr>
    </w:p>
    <w:p w14:paraId="7F7B9BC1" w14:textId="77777777" w:rsidR="009F7EBD" w:rsidRDefault="009F7EBD" w:rsidP="009F7EBD">
      <w:pPr>
        <w:widowControl w:val="0"/>
        <w:tabs>
          <w:tab w:val="left" w:pos="851"/>
        </w:tabs>
      </w:pPr>
    </w:p>
    <w:p w14:paraId="4413346C" w14:textId="77777777" w:rsidR="009F7EBD" w:rsidRDefault="009F7EBD" w:rsidP="009F7EBD">
      <w:pPr>
        <w:widowControl w:val="0"/>
        <w:tabs>
          <w:tab w:val="left" w:pos="851"/>
        </w:tabs>
      </w:pPr>
    </w:p>
    <w:p w14:paraId="2FCEF012" w14:textId="77777777" w:rsidR="009F7EBD" w:rsidRDefault="009F7EBD" w:rsidP="009F7EBD">
      <w:pPr>
        <w:widowControl w:val="0"/>
        <w:tabs>
          <w:tab w:val="left" w:pos="851"/>
        </w:tabs>
      </w:pPr>
    </w:p>
    <w:p w14:paraId="30DCBE67" w14:textId="77777777" w:rsidR="009F7EBD" w:rsidRDefault="009F7EBD" w:rsidP="009F7EBD">
      <w:pPr>
        <w:widowControl w:val="0"/>
        <w:tabs>
          <w:tab w:val="left" w:pos="851"/>
        </w:tabs>
      </w:pPr>
    </w:p>
    <w:p w14:paraId="1F81436C" w14:textId="77777777" w:rsidR="009F7EBD" w:rsidRDefault="009F7EBD" w:rsidP="009F7EBD">
      <w:pPr>
        <w:widowControl w:val="0"/>
        <w:tabs>
          <w:tab w:val="left" w:pos="851"/>
        </w:tabs>
      </w:pPr>
    </w:p>
    <w:p w14:paraId="3D043D15" w14:textId="77777777" w:rsidR="009F7EBD" w:rsidRDefault="009F7EBD" w:rsidP="009F7EBD">
      <w:pPr>
        <w:widowControl w:val="0"/>
        <w:tabs>
          <w:tab w:val="left" w:pos="851"/>
        </w:tabs>
      </w:pPr>
    </w:p>
    <w:p w14:paraId="66A826F8" w14:textId="77777777" w:rsidR="009F7EBD" w:rsidRDefault="009F7EBD" w:rsidP="009F7EBD">
      <w:pPr>
        <w:widowControl w:val="0"/>
        <w:tabs>
          <w:tab w:val="left" w:pos="851"/>
        </w:tabs>
      </w:pPr>
    </w:p>
    <w:p w14:paraId="5BEBD7DA" w14:textId="77777777" w:rsidR="009F7EBD" w:rsidRDefault="009F7EBD" w:rsidP="009F7EBD">
      <w:pPr>
        <w:widowControl w:val="0"/>
        <w:tabs>
          <w:tab w:val="left" w:pos="851"/>
        </w:tabs>
      </w:pPr>
    </w:p>
    <w:p w14:paraId="01C4A549" w14:textId="77777777" w:rsidR="009F7EBD" w:rsidRDefault="009F7EBD" w:rsidP="009F7EBD">
      <w:pPr>
        <w:widowControl w:val="0"/>
        <w:tabs>
          <w:tab w:val="left" w:pos="851"/>
        </w:tabs>
      </w:pPr>
    </w:p>
    <w:p w14:paraId="700581E3" w14:textId="77777777" w:rsidR="009F7EBD" w:rsidRDefault="009F7EBD" w:rsidP="009F7EBD">
      <w:pPr>
        <w:widowControl w:val="0"/>
        <w:tabs>
          <w:tab w:val="left" w:pos="851"/>
        </w:tabs>
      </w:pPr>
    </w:p>
    <w:p w14:paraId="1E54CD4B" w14:textId="77777777" w:rsidR="009F7EBD" w:rsidRDefault="009F7EBD" w:rsidP="009F7EBD">
      <w:pPr>
        <w:widowControl w:val="0"/>
        <w:tabs>
          <w:tab w:val="left" w:pos="851"/>
        </w:tabs>
      </w:pPr>
    </w:p>
    <w:p w14:paraId="365468F9" w14:textId="77777777" w:rsidR="009F7EBD" w:rsidRDefault="009F7EBD" w:rsidP="009F7EBD">
      <w:pPr>
        <w:widowControl w:val="0"/>
        <w:tabs>
          <w:tab w:val="left" w:pos="851"/>
        </w:tabs>
      </w:pPr>
      <w:r w:rsidRPr="000B1FAE">
        <w:rPr>
          <w:rFonts w:cs="Arial"/>
          <w:noProof/>
          <w:sz w:val="20"/>
          <w:lang w:eastAsia="en-GB"/>
        </w:rPr>
        <w:drawing>
          <wp:inline distT="0" distB="0" distL="0" distR="0" wp14:anchorId="4102519A" wp14:editId="1101510C">
            <wp:extent cx="2656840" cy="440055"/>
            <wp:effectExtent l="0" t="0" r="0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BF12C" w14:textId="77777777" w:rsidR="00E7283B" w:rsidRPr="000B1FAE" w:rsidRDefault="00E7283B" w:rsidP="00E7283B">
      <w:pPr>
        <w:rPr>
          <w:rFonts w:cs="Arial"/>
          <w:noProof/>
          <w:sz w:val="20"/>
          <w:lang w:val="en-AU" w:eastAsia="en-AU"/>
        </w:rPr>
      </w:pPr>
    </w:p>
    <w:p w14:paraId="7F700138" w14:textId="77777777" w:rsidR="00E7283B" w:rsidRDefault="00E7283B" w:rsidP="00E7283B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06EBB231" w14:textId="638900DB" w:rsidR="00365779" w:rsidRPr="00A25FDE" w:rsidRDefault="00365779" w:rsidP="00365779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t>Food Standards (Application A1191 – Mono- and diglycerides of fatty acids (INS 471) as glazing agent for fruits and vegetables) Variation</w:t>
      </w:r>
    </w:p>
    <w:p w14:paraId="1B1FA432" w14:textId="77777777" w:rsidR="00365779" w:rsidRPr="00A25FDE" w:rsidRDefault="00365779" w:rsidP="00365779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14:paraId="27EAD3F4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76D1FD8C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  <w:r w:rsidRPr="00A25FDE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A25FDE">
        <w:rPr>
          <w:i/>
          <w:sz w:val="20"/>
          <w:szCs w:val="20"/>
        </w:rPr>
        <w:t>Food Standards Australia New Zealand Act 1991</w:t>
      </w:r>
      <w:r w:rsidRPr="00A25FDE">
        <w:rPr>
          <w:sz w:val="20"/>
          <w:szCs w:val="20"/>
        </w:rPr>
        <w:t>.  The variation commences on the date specified in clause 3 of this variation.</w:t>
      </w:r>
    </w:p>
    <w:p w14:paraId="70F8CFC1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14470E89" w14:textId="1F620B0B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  <w:r w:rsidRPr="00A25FDE">
        <w:rPr>
          <w:sz w:val="20"/>
          <w:szCs w:val="20"/>
        </w:rPr>
        <w:t xml:space="preserve">Dated </w:t>
      </w:r>
      <w:r w:rsidR="00FB73FC">
        <w:rPr>
          <w:sz w:val="20"/>
          <w:szCs w:val="20"/>
        </w:rPr>
        <w:t>15 April 2021</w:t>
      </w:r>
    </w:p>
    <w:p w14:paraId="05055525" w14:textId="4B67B433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38A028D6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  <w:r>
        <w:rPr>
          <w:noProof/>
          <w:color w:val="000000" w:themeColor="text1"/>
          <w:sz w:val="20"/>
          <w:lang w:eastAsia="en-GB"/>
        </w:rPr>
        <w:drawing>
          <wp:inline distT="0" distB="0" distL="0" distR="0" wp14:anchorId="78E547D8" wp14:editId="0F0222EE">
            <wp:extent cx="1086904" cy="1547085"/>
            <wp:effectExtent l="0" t="1587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5CA6" w14:textId="77777777" w:rsidR="00365779" w:rsidRDefault="00365779" w:rsidP="00365779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Joanna Richards</w:t>
      </w:r>
    </w:p>
    <w:p w14:paraId="2D2E5460" w14:textId="77777777" w:rsidR="00365779" w:rsidRDefault="00365779" w:rsidP="00365779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Standards Management Officer</w:t>
      </w:r>
    </w:p>
    <w:p w14:paraId="6567BB51" w14:textId="77777777" w:rsidR="00365779" w:rsidRPr="00DA1ABB" w:rsidRDefault="00365779" w:rsidP="00365779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>Delegate of the Board of Food Standards Australia New Zealand</w:t>
      </w:r>
    </w:p>
    <w:p w14:paraId="578A0776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654D2F6D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5D216893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65B5B288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068EF12A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34C67EFF" w14:textId="77777777" w:rsidR="00365779" w:rsidRPr="00A25FDE" w:rsidRDefault="00365779" w:rsidP="0036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A25FDE">
        <w:rPr>
          <w:b/>
          <w:sz w:val="20"/>
          <w:szCs w:val="20"/>
          <w:lang w:val="en-AU"/>
        </w:rPr>
        <w:t xml:space="preserve">Note:  </w:t>
      </w:r>
    </w:p>
    <w:p w14:paraId="3E02D2F4" w14:textId="77777777" w:rsidR="00365779" w:rsidRPr="00A25FDE" w:rsidRDefault="00365779" w:rsidP="0036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0D63BE13" w14:textId="77777777" w:rsidR="00365779" w:rsidRPr="00A25FDE" w:rsidRDefault="00365779" w:rsidP="0036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A25FDE">
        <w:rPr>
          <w:sz w:val="20"/>
          <w:szCs w:val="20"/>
          <w:lang w:val="en-AU"/>
        </w:rPr>
        <w:t xml:space="preserve">This variation will be published in the Commonwealth of Australia Gazette No. FSC </w:t>
      </w:r>
      <w:r w:rsidRPr="00365779">
        <w:rPr>
          <w:sz w:val="20"/>
          <w:szCs w:val="20"/>
          <w:lang w:val="en-AU"/>
        </w:rPr>
        <w:t xml:space="preserve">140 on 22 April 2021. This means that this date is the gazettal date for the purposes of clause 3 of the variation. </w:t>
      </w:r>
    </w:p>
    <w:p w14:paraId="467F93CD" w14:textId="77777777" w:rsidR="00365779" w:rsidRPr="00A25FDE" w:rsidRDefault="00365779" w:rsidP="00365779">
      <w:pPr>
        <w:tabs>
          <w:tab w:val="left" w:pos="851"/>
        </w:tabs>
        <w:rPr>
          <w:sz w:val="20"/>
          <w:szCs w:val="20"/>
        </w:rPr>
      </w:pPr>
    </w:p>
    <w:p w14:paraId="27560274" w14:textId="77777777" w:rsidR="00365779" w:rsidRPr="00A25FDE" w:rsidRDefault="00365779" w:rsidP="00365779">
      <w:pPr>
        <w:rPr>
          <w:sz w:val="20"/>
          <w:szCs w:val="20"/>
        </w:rPr>
      </w:pPr>
      <w:r w:rsidRPr="00A25FDE">
        <w:rPr>
          <w:sz w:val="20"/>
          <w:szCs w:val="20"/>
        </w:rPr>
        <w:br w:type="page"/>
      </w:r>
    </w:p>
    <w:p w14:paraId="29A8F3F5" w14:textId="77777777" w:rsidR="00365779" w:rsidRPr="00A25FDE" w:rsidRDefault="00365779" w:rsidP="00365779">
      <w:pPr>
        <w:spacing w:before="120" w:after="120"/>
        <w:ind w:left="851" w:hanging="851"/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lastRenderedPageBreak/>
        <w:t>1</w:t>
      </w:r>
      <w:r w:rsidRPr="00A25FDE">
        <w:rPr>
          <w:b/>
          <w:sz w:val="20"/>
          <w:szCs w:val="20"/>
        </w:rPr>
        <w:tab/>
        <w:t>Name</w:t>
      </w:r>
    </w:p>
    <w:p w14:paraId="51A3D359" w14:textId="4C6E2293" w:rsidR="00365779" w:rsidRPr="00A25FDE" w:rsidRDefault="00365779" w:rsidP="00365779">
      <w:pPr>
        <w:tabs>
          <w:tab w:val="left" w:pos="851"/>
        </w:tabs>
        <w:spacing w:before="120" w:after="120"/>
        <w:rPr>
          <w:sz w:val="20"/>
          <w:szCs w:val="20"/>
        </w:rPr>
      </w:pPr>
      <w:r w:rsidRPr="00A25FDE">
        <w:rPr>
          <w:sz w:val="20"/>
          <w:szCs w:val="20"/>
        </w:rPr>
        <w:t xml:space="preserve">This instrument is the </w:t>
      </w:r>
      <w:r w:rsidRPr="00A25FDE">
        <w:rPr>
          <w:i/>
          <w:sz w:val="20"/>
          <w:szCs w:val="20"/>
        </w:rPr>
        <w:t>Food Standards (Application A1191 – Mono- and diglycerides of fatty acids (INS 471) as glazing agent for fruits and vegetables) Variation</w:t>
      </w:r>
      <w:r w:rsidRPr="00A25FDE">
        <w:rPr>
          <w:sz w:val="20"/>
          <w:szCs w:val="20"/>
        </w:rPr>
        <w:t>.</w:t>
      </w:r>
    </w:p>
    <w:p w14:paraId="14EFD2E7" w14:textId="77777777" w:rsidR="00365779" w:rsidRPr="00A25FDE" w:rsidRDefault="00365779" w:rsidP="00365779">
      <w:pPr>
        <w:spacing w:before="120" w:after="120"/>
        <w:ind w:left="851" w:hanging="851"/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t>2</w:t>
      </w:r>
      <w:r w:rsidRPr="00A25FDE">
        <w:rPr>
          <w:b/>
          <w:sz w:val="20"/>
          <w:szCs w:val="20"/>
        </w:rPr>
        <w:tab/>
        <w:t xml:space="preserve">Variation to a standard in the </w:t>
      </w:r>
      <w:r w:rsidRPr="00A25FDE">
        <w:rPr>
          <w:b/>
          <w:i/>
          <w:sz w:val="20"/>
          <w:szCs w:val="20"/>
        </w:rPr>
        <w:t>Australia New Zealand Food Standards Code</w:t>
      </w:r>
    </w:p>
    <w:p w14:paraId="4F7AAC07" w14:textId="77777777" w:rsidR="00365779" w:rsidRPr="00A25FDE" w:rsidRDefault="00365779" w:rsidP="00365779">
      <w:pPr>
        <w:tabs>
          <w:tab w:val="left" w:pos="851"/>
        </w:tabs>
        <w:spacing w:before="120" w:after="120"/>
        <w:rPr>
          <w:sz w:val="20"/>
          <w:szCs w:val="20"/>
        </w:rPr>
      </w:pPr>
      <w:r w:rsidRPr="00A25FDE">
        <w:rPr>
          <w:sz w:val="20"/>
          <w:szCs w:val="20"/>
        </w:rPr>
        <w:t xml:space="preserve">The Schedule varies a Standard in the </w:t>
      </w:r>
      <w:r w:rsidRPr="00A25FDE">
        <w:rPr>
          <w:i/>
          <w:sz w:val="20"/>
          <w:szCs w:val="20"/>
        </w:rPr>
        <w:t>Australia New Zealand Food Standards Code</w:t>
      </w:r>
      <w:r w:rsidRPr="00A25FDE">
        <w:rPr>
          <w:sz w:val="20"/>
          <w:szCs w:val="20"/>
        </w:rPr>
        <w:t>.</w:t>
      </w:r>
    </w:p>
    <w:p w14:paraId="302666A7" w14:textId="77777777" w:rsidR="00365779" w:rsidRPr="00A25FDE" w:rsidRDefault="00365779" w:rsidP="00365779">
      <w:pPr>
        <w:spacing w:before="120" w:after="120"/>
        <w:ind w:left="851" w:hanging="851"/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t>3</w:t>
      </w:r>
      <w:r w:rsidRPr="00A25FDE">
        <w:rPr>
          <w:b/>
          <w:sz w:val="20"/>
          <w:szCs w:val="20"/>
        </w:rPr>
        <w:tab/>
        <w:t>Commencement</w:t>
      </w:r>
    </w:p>
    <w:p w14:paraId="4C3CF3E7" w14:textId="77777777" w:rsidR="00365779" w:rsidRPr="00A25FDE" w:rsidRDefault="00365779" w:rsidP="00365779">
      <w:pPr>
        <w:tabs>
          <w:tab w:val="left" w:pos="851"/>
        </w:tabs>
        <w:spacing w:before="120" w:after="120"/>
        <w:rPr>
          <w:sz w:val="20"/>
          <w:szCs w:val="20"/>
        </w:rPr>
      </w:pPr>
      <w:r w:rsidRPr="00A25FDE">
        <w:rPr>
          <w:sz w:val="20"/>
          <w:szCs w:val="20"/>
        </w:rPr>
        <w:t>The variation commences on the date of gazettal.</w:t>
      </w:r>
    </w:p>
    <w:p w14:paraId="5965B996" w14:textId="77777777" w:rsidR="00365779" w:rsidRPr="00A25FDE" w:rsidRDefault="00365779" w:rsidP="00365779">
      <w:pPr>
        <w:tabs>
          <w:tab w:val="left" w:pos="851"/>
        </w:tabs>
        <w:jc w:val="center"/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t>Schedule</w:t>
      </w:r>
    </w:p>
    <w:p w14:paraId="2E8D9313" w14:textId="77777777" w:rsidR="00365779" w:rsidRPr="00A25FDE" w:rsidRDefault="00365779" w:rsidP="00365779">
      <w:pPr>
        <w:tabs>
          <w:tab w:val="left" w:pos="851"/>
        </w:tabs>
        <w:spacing w:before="120" w:after="120"/>
        <w:rPr>
          <w:sz w:val="20"/>
          <w:szCs w:val="20"/>
        </w:rPr>
      </w:pPr>
      <w:r w:rsidRPr="00A25FDE">
        <w:rPr>
          <w:b/>
          <w:sz w:val="20"/>
          <w:szCs w:val="20"/>
        </w:rPr>
        <w:t>[1]</w:t>
      </w:r>
      <w:r w:rsidRPr="00A25FDE">
        <w:rPr>
          <w:b/>
          <w:sz w:val="20"/>
          <w:szCs w:val="20"/>
        </w:rPr>
        <w:tab/>
        <w:t>Schedule 15</w:t>
      </w:r>
      <w:r w:rsidRPr="00A25FDE">
        <w:rPr>
          <w:sz w:val="20"/>
          <w:szCs w:val="20"/>
        </w:rPr>
        <w:t xml:space="preserve"> is varied by</w:t>
      </w:r>
      <w:r w:rsidRPr="00A25FDE">
        <w:rPr>
          <w:color w:val="FF0000"/>
          <w:sz w:val="20"/>
          <w:szCs w:val="20"/>
        </w:rPr>
        <w:t xml:space="preserve"> </w:t>
      </w:r>
      <w:r w:rsidRPr="00A25FDE">
        <w:rPr>
          <w:sz w:val="20"/>
          <w:szCs w:val="20"/>
        </w:rPr>
        <w:t xml:space="preserve">inserting in the table to section S15—5, under 4.1.2 Surface treated fruits and vegetables, in numerical order   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365779" w:rsidRPr="00A25FDE" w14:paraId="17F28A0A" w14:textId="77777777" w:rsidTr="00301A56">
        <w:trPr>
          <w:cantSplit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02BE" w14:textId="77777777" w:rsidR="00365779" w:rsidRPr="00A25FDE" w:rsidRDefault="00365779" w:rsidP="00301A56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eastAsia="en-AU"/>
              </w:rPr>
            </w:pPr>
            <w:r w:rsidRPr="00A25FDE">
              <w:rPr>
                <w:rFonts w:cs="Arial"/>
                <w:sz w:val="18"/>
                <w:szCs w:val="20"/>
                <w:lang w:eastAsia="en-AU"/>
              </w:rPr>
              <w:t>471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E767" w14:textId="77777777" w:rsidR="00365779" w:rsidRPr="00A25FDE" w:rsidRDefault="00365779" w:rsidP="00301A56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eastAsia="en-AU"/>
              </w:rPr>
            </w:pPr>
            <w:r w:rsidRPr="00A25FDE">
              <w:rPr>
                <w:rFonts w:cs="Arial"/>
                <w:sz w:val="18"/>
                <w:szCs w:val="20"/>
                <w:lang w:eastAsia="en-AU"/>
              </w:rPr>
              <w:t>Mono- and diglycerides of fatty acids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0C9F" w14:textId="77777777" w:rsidR="00365779" w:rsidRPr="00A25FDE" w:rsidRDefault="00365779" w:rsidP="00301A56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eastAsia="en-AU"/>
              </w:rPr>
            </w:pPr>
            <w:r w:rsidRPr="00A25FDE">
              <w:rPr>
                <w:rFonts w:cs="Arial"/>
                <w:sz w:val="18"/>
                <w:szCs w:val="20"/>
                <w:lang w:eastAsia="en-AU"/>
              </w:rPr>
              <w:t>GMP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FE10" w14:textId="77777777" w:rsidR="00365779" w:rsidRPr="00A25FDE" w:rsidRDefault="00365779" w:rsidP="00301A56">
            <w:pPr>
              <w:spacing w:before="100" w:beforeAutospacing="1" w:after="100" w:afterAutospacing="1"/>
              <w:rPr>
                <w:rFonts w:cs="Arial"/>
                <w:sz w:val="19"/>
                <w:szCs w:val="19"/>
                <w:lang w:eastAsia="en-GB"/>
              </w:rPr>
            </w:pPr>
            <w:r w:rsidRPr="00A25FDE">
              <w:rPr>
                <w:rFonts w:cs="Arial"/>
                <w:sz w:val="19"/>
                <w:szCs w:val="19"/>
                <w:lang w:eastAsia="en-GB"/>
              </w:rPr>
              <w:t> </w:t>
            </w:r>
          </w:p>
        </w:tc>
      </w:tr>
    </w:tbl>
    <w:p w14:paraId="4EA651BC" w14:textId="77777777" w:rsidR="00365779" w:rsidRPr="00A25FDE" w:rsidRDefault="00365779" w:rsidP="00365779"/>
    <w:p w14:paraId="5D9A8AA9" w14:textId="77777777" w:rsidR="00365779" w:rsidRPr="00A25FDE" w:rsidRDefault="00365779" w:rsidP="00365779">
      <w:pPr>
        <w:rPr>
          <w:lang w:val="en-AU" w:eastAsia="en-GB"/>
        </w:rPr>
      </w:pPr>
    </w:p>
    <w:p w14:paraId="0CC66EC8" w14:textId="77777777" w:rsidR="00365779" w:rsidRPr="00795D86" w:rsidRDefault="00365779" w:rsidP="00365779"/>
    <w:p w14:paraId="3394AC06" w14:textId="77777777" w:rsidR="009F7EBD" w:rsidRDefault="009F7EBD" w:rsidP="009F7EBD">
      <w:pPr>
        <w:widowControl w:val="0"/>
        <w:tabs>
          <w:tab w:val="left" w:pos="851"/>
        </w:tabs>
      </w:pPr>
    </w:p>
    <w:p w14:paraId="699832F3" w14:textId="77777777" w:rsidR="00570BA8" w:rsidRDefault="00570BA8" w:rsidP="009F7EBD">
      <w:pPr>
        <w:widowControl w:val="0"/>
        <w:tabs>
          <w:tab w:val="left" w:pos="851"/>
        </w:tabs>
      </w:pPr>
    </w:p>
    <w:p w14:paraId="0EE78D24" w14:textId="77777777" w:rsidR="00570BA8" w:rsidRDefault="00570BA8" w:rsidP="009F7EBD">
      <w:pPr>
        <w:widowControl w:val="0"/>
        <w:tabs>
          <w:tab w:val="left" w:pos="851"/>
        </w:tabs>
      </w:pPr>
    </w:p>
    <w:p w14:paraId="641E5107" w14:textId="77777777" w:rsidR="00570BA8" w:rsidRDefault="00570BA8" w:rsidP="009F7EBD">
      <w:pPr>
        <w:widowControl w:val="0"/>
        <w:tabs>
          <w:tab w:val="left" w:pos="851"/>
        </w:tabs>
      </w:pPr>
    </w:p>
    <w:p w14:paraId="7A176729" w14:textId="77777777" w:rsidR="00570BA8" w:rsidRDefault="00570BA8" w:rsidP="009F7EBD">
      <w:pPr>
        <w:widowControl w:val="0"/>
        <w:tabs>
          <w:tab w:val="left" w:pos="851"/>
        </w:tabs>
      </w:pPr>
    </w:p>
    <w:p w14:paraId="6EDD8621" w14:textId="77777777" w:rsidR="00570BA8" w:rsidRDefault="00570BA8" w:rsidP="009F7EBD">
      <w:pPr>
        <w:widowControl w:val="0"/>
        <w:tabs>
          <w:tab w:val="left" w:pos="851"/>
        </w:tabs>
      </w:pPr>
    </w:p>
    <w:p w14:paraId="436F921B" w14:textId="77777777" w:rsidR="00570BA8" w:rsidRDefault="00570BA8" w:rsidP="009F7EBD">
      <w:pPr>
        <w:widowControl w:val="0"/>
        <w:tabs>
          <w:tab w:val="left" w:pos="851"/>
        </w:tabs>
      </w:pPr>
    </w:p>
    <w:p w14:paraId="2A44E1DD" w14:textId="77777777" w:rsidR="00570BA8" w:rsidRDefault="00570BA8" w:rsidP="009F7EBD">
      <w:pPr>
        <w:widowControl w:val="0"/>
        <w:tabs>
          <w:tab w:val="left" w:pos="851"/>
        </w:tabs>
      </w:pPr>
    </w:p>
    <w:p w14:paraId="2F999CC6" w14:textId="77777777" w:rsidR="00570BA8" w:rsidRDefault="00570BA8" w:rsidP="009F7EBD">
      <w:pPr>
        <w:widowControl w:val="0"/>
        <w:tabs>
          <w:tab w:val="left" w:pos="851"/>
        </w:tabs>
      </w:pPr>
    </w:p>
    <w:p w14:paraId="33202854" w14:textId="77777777" w:rsidR="00570BA8" w:rsidRDefault="00570BA8" w:rsidP="009F7EBD">
      <w:pPr>
        <w:widowControl w:val="0"/>
        <w:tabs>
          <w:tab w:val="left" w:pos="851"/>
        </w:tabs>
      </w:pPr>
    </w:p>
    <w:p w14:paraId="73B7F488" w14:textId="77777777" w:rsidR="00570BA8" w:rsidRDefault="00570BA8" w:rsidP="009F7EBD">
      <w:pPr>
        <w:widowControl w:val="0"/>
        <w:tabs>
          <w:tab w:val="left" w:pos="851"/>
        </w:tabs>
      </w:pPr>
    </w:p>
    <w:p w14:paraId="732CF353" w14:textId="77777777" w:rsidR="00570BA8" w:rsidRDefault="00570BA8" w:rsidP="009F7EBD">
      <w:pPr>
        <w:widowControl w:val="0"/>
        <w:tabs>
          <w:tab w:val="left" w:pos="851"/>
        </w:tabs>
      </w:pPr>
    </w:p>
    <w:p w14:paraId="1E7FA2FA" w14:textId="77777777" w:rsidR="00570BA8" w:rsidRDefault="00570BA8" w:rsidP="009F7EBD">
      <w:pPr>
        <w:widowControl w:val="0"/>
        <w:tabs>
          <w:tab w:val="left" w:pos="851"/>
        </w:tabs>
      </w:pPr>
    </w:p>
    <w:p w14:paraId="219C12FC" w14:textId="77777777" w:rsidR="00570BA8" w:rsidRDefault="00570BA8" w:rsidP="009F7EBD">
      <w:pPr>
        <w:widowControl w:val="0"/>
        <w:tabs>
          <w:tab w:val="left" w:pos="851"/>
        </w:tabs>
      </w:pPr>
    </w:p>
    <w:p w14:paraId="7B910FEE" w14:textId="77777777" w:rsidR="00570BA8" w:rsidRDefault="00570BA8" w:rsidP="009F7EBD">
      <w:pPr>
        <w:widowControl w:val="0"/>
        <w:tabs>
          <w:tab w:val="left" w:pos="851"/>
        </w:tabs>
      </w:pPr>
    </w:p>
    <w:p w14:paraId="071D1B1F" w14:textId="77777777" w:rsidR="00570BA8" w:rsidRDefault="00570BA8" w:rsidP="009F7EBD">
      <w:pPr>
        <w:widowControl w:val="0"/>
        <w:tabs>
          <w:tab w:val="left" w:pos="851"/>
        </w:tabs>
      </w:pPr>
    </w:p>
    <w:p w14:paraId="02A618E8" w14:textId="77777777" w:rsidR="00570BA8" w:rsidRDefault="00570BA8" w:rsidP="009F7EBD">
      <w:pPr>
        <w:widowControl w:val="0"/>
        <w:tabs>
          <w:tab w:val="left" w:pos="851"/>
        </w:tabs>
      </w:pPr>
    </w:p>
    <w:p w14:paraId="391628F0" w14:textId="77777777" w:rsidR="00570BA8" w:rsidRDefault="00570BA8" w:rsidP="009F7EBD">
      <w:pPr>
        <w:widowControl w:val="0"/>
        <w:tabs>
          <w:tab w:val="left" w:pos="851"/>
        </w:tabs>
      </w:pPr>
    </w:p>
    <w:p w14:paraId="222D62EC" w14:textId="77777777" w:rsidR="00570BA8" w:rsidRDefault="00570BA8" w:rsidP="009F7EBD">
      <w:pPr>
        <w:widowControl w:val="0"/>
        <w:tabs>
          <w:tab w:val="left" w:pos="851"/>
        </w:tabs>
      </w:pPr>
    </w:p>
    <w:p w14:paraId="4238B926" w14:textId="77777777" w:rsidR="00570BA8" w:rsidRDefault="00570BA8" w:rsidP="009F7EBD">
      <w:pPr>
        <w:widowControl w:val="0"/>
        <w:tabs>
          <w:tab w:val="left" w:pos="851"/>
        </w:tabs>
      </w:pPr>
    </w:p>
    <w:p w14:paraId="1523B03D" w14:textId="77777777" w:rsidR="00570BA8" w:rsidRDefault="00570BA8" w:rsidP="009F7EBD">
      <w:pPr>
        <w:widowControl w:val="0"/>
        <w:tabs>
          <w:tab w:val="left" w:pos="851"/>
        </w:tabs>
      </w:pPr>
    </w:p>
    <w:p w14:paraId="152CC7F0" w14:textId="77777777" w:rsidR="00570BA8" w:rsidRDefault="00570BA8" w:rsidP="009F7EBD">
      <w:pPr>
        <w:widowControl w:val="0"/>
        <w:tabs>
          <w:tab w:val="left" w:pos="851"/>
        </w:tabs>
      </w:pPr>
    </w:p>
    <w:p w14:paraId="71FF095E" w14:textId="77777777" w:rsidR="00570BA8" w:rsidRDefault="00570BA8" w:rsidP="009F7EBD">
      <w:pPr>
        <w:widowControl w:val="0"/>
        <w:tabs>
          <w:tab w:val="left" w:pos="851"/>
        </w:tabs>
      </w:pPr>
    </w:p>
    <w:p w14:paraId="60174A6A" w14:textId="77777777" w:rsidR="00570BA8" w:rsidRDefault="00570BA8" w:rsidP="009F7EBD">
      <w:pPr>
        <w:widowControl w:val="0"/>
        <w:tabs>
          <w:tab w:val="left" w:pos="851"/>
        </w:tabs>
      </w:pPr>
    </w:p>
    <w:p w14:paraId="788EBAAB" w14:textId="77777777" w:rsidR="00570BA8" w:rsidRDefault="00570BA8" w:rsidP="009F7EBD">
      <w:pPr>
        <w:widowControl w:val="0"/>
        <w:tabs>
          <w:tab w:val="left" w:pos="851"/>
        </w:tabs>
      </w:pPr>
    </w:p>
    <w:p w14:paraId="169C1D1F" w14:textId="77777777" w:rsidR="00570BA8" w:rsidRDefault="00570BA8" w:rsidP="009F7EBD">
      <w:pPr>
        <w:widowControl w:val="0"/>
        <w:tabs>
          <w:tab w:val="left" w:pos="851"/>
        </w:tabs>
      </w:pPr>
    </w:p>
    <w:p w14:paraId="7E15F06C" w14:textId="77777777" w:rsidR="00570BA8" w:rsidRDefault="00570BA8" w:rsidP="009F7EBD">
      <w:pPr>
        <w:widowControl w:val="0"/>
        <w:tabs>
          <w:tab w:val="left" w:pos="851"/>
        </w:tabs>
      </w:pPr>
    </w:p>
    <w:p w14:paraId="2AB547FC" w14:textId="77777777" w:rsidR="00570BA8" w:rsidRDefault="00570BA8" w:rsidP="009F7EBD">
      <w:pPr>
        <w:widowControl w:val="0"/>
        <w:tabs>
          <w:tab w:val="left" w:pos="851"/>
        </w:tabs>
      </w:pPr>
    </w:p>
    <w:p w14:paraId="079765FE" w14:textId="77777777" w:rsidR="00570BA8" w:rsidRDefault="00570BA8" w:rsidP="009F7EBD">
      <w:pPr>
        <w:widowControl w:val="0"/>
        <w:tabs>
          <w:tab w:val="left" w:pos="851"/>
        </w:tabs>
      </w:pPr>
    </w:p>
    <w:p w14:paraId="563073C6" w14:textId="77777777" w:rsidR="00570BA8" w:rsidRDefault="00570BA8" w:rsidP="009F7EBD">
      <w:pPr>
        <w:widowControl w:val="0"/>
        <w:tabs>
          <w:tab w:val="left" w:pos="851"/>
        </w:tabs>
      </w:pPr>
    </w:p>
    <w:p w14:paraId="1BD65D1B" w14:textId="77777777" w:rsidR="00570BA8" w:rsidRDefault="00570BA8" w:rsidP="009F7EBD">
      <w:pPr>
        <w:widowControl w:val="0"/>
        <w:tabs>
          <w:tab w:val="left" w:pos="851"/>
        </w:tabs>
      </w:pPr>
    </w:p>
    <w:p w14:paraId="09BE970D" w14:textId="77777777" w:rsidR="00570BA8" w:rsidRDefault="00570BA8" w:rsidP="009F7EBD">
      <w:pPr>
        <w:widowControl w:val="0"/>
        <w:tabs>
          <w:tab w:val="left" w:pos="851"/>
        </w:tabs>
      </w:pPr>
    </w:p>
    <w:p w14:paraId="6FB570B6" w14:textId="77777777" w:rsidR="00570BA8" w:rsidRDefault="00570BA8" w:rsidP="009F7EBD">
      <w:pPr>
        <w:widowControl w:val="0"/>
        <w:tabs>
          <w:tab w:val="left" w:pos="851"/>
        </w:tabs>
      </w:pPr>
    </w:p>
    <w:p w14:paraId="1EB1EFA7" w14:textId="77777777" w:rsidR="00570BA8" w:rsidRDefault="00570BA8" w:rsidP="009F7EBD">
      <w:pPr>
        <w:widowControl w:val="0"/>
        <w:tabs>
          <w:tab w:val="left" w:pos="851"/>
        </w:tabs>
      </w:pPr>
    </w:p>
    <w:p w14:paraId="2B43A51F" w14:textId="77777777" w:rsidR="00570BA8" w:rsidRDefault="00570BA8" w:rsidP="009F7EBD">
      <w:pPr>
        <w:widowControl w:val="0"/>
        <w:tabs>
          <w:tab w:val="left" w:pos="851"/>
        </w:tabs>
      </w:pPr>
    </w:p>
    <w:p w14:paraId="5D226CBA" w14:textId="77777777" w:rsidR="00570BA8" w:rsidRDefault="00570BA8" w:rsidP="009F7EBD">
      <w:pPr>
        <w:widowControl w:val="0"/>
        <w:tabs>
          <w:tab w:val="left" w:pos="851"/>
        </w:tabs>
      </w:pPr>
    </w:p>
    <w:p w14:paraId="0CB20CF1" w14:textId="77777777" w:rsidR="00570BA8" w:rsidRDefault="00570BA8" w:rsidP="009F7EBD">
      <w:pPr>
        <w:widowControl w:val="0"/>
        <w:tabs>
          <w:tab w:val="left" w:pos="851"/>
        </w:tabs>
      </w:pPr>
    </w:p>
    <w:p w14:paraId="25A72636" w14:textId="77777777" w:rsidR="00570BA8" w:rsidRDefault="00570BA8" w:rsidP="009F7EBD">
      <w:pPr>
        <w:widowControl w:val="0"/>
        <w:tabs>
          <w:tab w:val="left" w:pos="851"/>
        </w:tabs>
      </w:pPr>
    </w:p>
    <w:p w14:paraId="1871A2FC" w14:textId="77777777" w:rsidR="00570BA8" w:rsidRPr="002A4310" w:rsidRDefault="00570BA8" w:rsidP="00570BA8"/>
    <w:p w14:paraId="5A866E51" w14:textId="77777777" w:rsidR="00570BA8" w:rsidRPr="002A4310" w:rsidRDefault="00570BA8" w:rsidP="00570BA8">
      <w:pPr>
        <w:rPr>
          <w:noProof/>
          <w:sz w:val="20"/>
          <w:lang w:val="en-AU" w:eastAsia="en-AU"/>
        </w:rPr>
      </w:pPr>
      <w:r w:rsidRPr="002A4310">
        <w:rPr>
          <w:noProof/>
          <w:sz w:val="20"/>
          <w:lang w:eastAsia="en-GB"/>
        </w:rPr>
        <w:drawing>
          <wp:inline distT="0" distB="0" distL="0" distR="0" wp14:anchorId="10864DA5" wp14:editId="0B5D5B08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31248" w14:textId="77777777" w:rsidR="00570BA8" w:rsidRPr="002A4310" w:rsidRDefault="00570BA8" w:rsidP="00570BA8">
      <w:pPr>
        <w:pBdr>
          <w:bottom w:val="single" w:sz="4" w:space="1" w:color="auto"/>
        </w:pBdr>
        <w:jc w:val="center"/>
        <w:rPr>
          <w:sz w:val="20"/>
          <w:lang w:eastAsia="en-GB"/>
        </w:rPr>
      </w:pPr>
    </w:p>
    <w:p w14:paraId="122153D6" w14:textId="77777777" w:rsidR="00570BA8" w:rsidRPr="002A4310" w:rsidRDefault="00570BA8" w:rsidP="00570BA8">
      <w:pPr>
        <w:pBdr>
          <w:bottom w:val="single" w:sz="4" w:space="1" w:color="auto"/>
        </w:pBdr>
        <w:rPr>
          <w:b/>
          <w:sz w:val="20"/>
        </w:rPr>
      </w:pPr>
      <w:r w:rsidRPr="002A4310">
        <w:rPr>
          <w:rFonts w:cs="Arial"/>
          <w:b/>
          <w:sz w:val="20"/>
        </w:rPr>
        <w:t xml:space="preserve">Food Standards (Application </w:t>
      </w:r>
      <w:r>
        <w:rPr>
          <w:b/>
          <w:sz w:val="20"/>
        </w:rPr>
        <w:t>A1202</w:t>
      </w:r>
      <w:r w:rsidRPr="002A4310">
        <w:rPr>
          <w:b/>
          <w:sz w:val="20"/>
        </w:rPr>
        <w:t xml:space="preserve"> –</w:t>
      </w:r>
      <w:r w:rsidRPr="002A4310">
        <w:t xml:space="preserve"> </w:t>
      </w:r>
      <w:r w:rsidRPr="002A4310">
        <w:rPr>
          <w:b/>
          <w:sz w:val="20"/>
        </w:rPr>
        <w:t xml:space="preserve">Food derived from </w:t>
      </w:r>
      <w:r w:rsidRPr="002A4310">
        <w:rPr>
          <w:b/>
          <w:bCs/>
          <w:sz w:val="20"/>
        </w:rPr>
        <w:t xml:space="preserve">herbicide-tolerant </w:t>
      </w:r>
      <w:r>
        <w:rPr>
          <w:b/>
          <w:bCs/>
          <w:sz w:val="20"/>
        </w:rPr>
        <w:t xml:space="preserve">and insect-protected </w:t>
      </w:r>
      <w:r w:rsidRPr="002A4310">
        <w:rPr>
          <w:b/>
          <w:bCs/>
          <w:sz w:val="20"/>
        </w:rPr>
        <w:t>corn</w:t>
      </w:r>
      <w:r w:rsidRPr="002A4310">
        <w:rPr>
          <w:b/>
          <w:sz w:val="20"/>
        </w:rPr>
        <w:t xml:space="preserve"> line </w:t>
      </w:r>
      <w:r w:rsidRPr="002A4310">
        <w:rPr>
          <w:b/>
          <w:bCs/>
          <w:sz w:val="20"/>
        </w:rPr>
        <w:t>DP23211</w:t>
      </w:r>
      <w:r w:rsidRPr="002A4310">
        <w:rPr>
          <w:rFonts w:cs="Arial"/>
          <w:b/>
          <w:sz w:val="20"/>
        </w:rPr>
        <w:t>)</w:t>
      </w:r>
      <w:r w:rsidRPr="002A4310">
        <w:rPr>
          <w:b/>
          <w:sz w:val="20"/>
        </w:rPr>
        <w:t xml:space="preserve"> Variation</w:t>
      </w:r>
    </w:p>
    <w:p w14:paraId="239A0000" w14:textId="77777777" w:rsidR="00570BA8" w:rsidRPr="002A4310" w:rsidRDefault="00570BA8" w:rsidP="00570BA8">
      <w:pPr>
        <w:pBdr>
          <w:bottom w:val="single" w:sz="4" w:space="1" w:color="auto"/>
        </w:pBdr>
        <w:rPr>
          <w:b/>
          <w:color w:val="FF0000"/>
          <w:sz w:val="20"/>
        </w:rPr>
      </w:pPr>
    </w:p>
    <w:p w14:paraId="65FECFDF" w14:textId="77777777" w:rsidR="00570BA8" w:rsidRPr="002A4310" w:rsidRDefault="00570BA8" w:rsidP="00570BA8">
      <w:pPr>
        <w:rPr>
          <w:color w:val="FF0000"/>
          <w:sz w:val="20"/>
        </w:rPr>
      </w:pPr>
    </w:p>
    <w:p w14:paraId="7B798FF9" w14:textId="77777777" w:rsidR="00570BA8" w:rsidRPr="00570BA8" w:rsidRDefault="00570BA8" w:rsidP="00570BA8">
      <w:pPr>
        <w:spacing w:after="240"/>
        <w:rPr>
          <w:sz w:val="20"/>
        </w:rPr>
      </w:pPr>
      <w:r w:rsidRPr="00462FB4">
        <w:rPr>
          <w:sz w:val="20"/>
        </w:rPr>
        <w:t xml:space="preserve">The Board of Food Standards Australia New Zealand gives notice of the making of this variation under section 92 of the </w:t>
      </w:r>
      <w:r w:rsidRPr="00462FB4">
        <w:rPr>
          <w:i/>
          <w:sz w:val="20"/>
        </w:rPr>
        <w:t>Food Standards Australia New Zealand Act 1991</w:t>
      </w:r>
      <w:r w:rsidRPr="00462FB4">
        <w:rPr>
          <w:sz w:val="20"/>
        </w:rPr>
        <w:t>. The variation commences on the date specified in clause 3 of the variation.</w:t>
      </w:r>
    </w:p>
    <w:p w14:paraId="01954E3A" w14:textId="3911047A" w:rsidR="00570BA8" w:rsidRPr="00570BA8" w:rsidRDefault="00570BA8" w:rsidP="00570BA8">
      <w:pPr>
        <w:tabs>
          <w:tab w:val="left" w:pos="851"/>
        </w:tabs>
        <w:rPr>
          <w:sz w:val="20"/>
          <w:szCs w:val="20"/>
        </w:rPr>
      </w:pPr>
      <w:r w:rsidRPr="00A25FDE">
        <w:rPr>
          <w:sz w:val="20"/>
          <w:szCs w:val="20"/>
        </w:rPr>
        <w:t xml:space="preserve">Dated </w:t>
      </w:r>
      <w:r w:rsidR="00FB73FC">
        <w:rPr>
          <w:sz w:val="20"/>
          <w:szCs w:val="20"/>
        </w:rPr>
        <w:t>15 April 2021</w:t>
      </w:r>
    </w:p>
    <w:p w14:paraId="57E6C9D5" w14:textId="77777777" w:rsidR="00570BA8" w:rsidRPr="00A25FDE" w:rsidRDefault="00570BA8" w:rsidP="00570BA8">
      <w:pPr>
        <w:tabs>
          <w:tab w:val="left" w:pos="851"/>
        </w:tabs>
        <w:rPr>
          <w:sz w:val="20"/>
          <w:szCs w:val="20"/>
        </w:rPr>
      </w:pPr>
      <w:r>
        <w:rPr>
          <w:noProof/>
          <w:color w:val="000000" w:themeColor="text1"/>
          <w:sz w:val="20"/>
          <w:lang w:eastAsia="en-GB"/>
        </w:rPr>
        <w:drawing>
          <wp:inline distT="0" distB="0" distL="0" distR="0" wp14:anchorId="49A10E41" wp14:editId="42ACAAD4">
            <wp:extent cx="1086904" cy="1547085"/>
            <wp:effectExtent l="0" t="1587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9C426" w14:textId="77777777" w:rsidR="00570BA8" w:rsidRDefault="00570BA8" w:rsidP="00570BA8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Joanna Richards</w:t>
      </w:r>
    </w:p>
    <w:p w14:paraId="7C46CDF4" w14:textId="77777777" w:rsidR="00570BA8" w:rsidRDefault="00570BA8" w:rsidP="00570BA8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Standards Management Officer</w:t>
      </w:r>
    </w:p>
    <w:p w14:paraId="4357F5EA" w14:textId="77777777" w:rsidR="00570BA8" w:rsidRPr="00DA1ABB" w:rsidRDefault="00570BA8" w:rsidP="00570BA8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>Delegate of the Board of Food Standards Australia New Zealand</w:t>
      </w:r>
    </w:p>
    <w:p w14:paraId="2081D79E" w14:textId="77777777" w:rsidR="00570BA8" w:rsidRPr="00A25FDE" w:rsidRDefault="00570BA8" w:rsidP="00570BA8">
      <w:pPr>
        <w:tabs>
          <w:tab w:val="left" w:pos="851"/>
        </w:tabs>
        <w:rPr>
          <w:sz w:val="20"/>
          <w:szCs w:val="20"/>
        </w:rPr>
      </w:pPr>
    </w:p>
    <w:p w14:paraId="3039986C" w14:textId="77777777" w:rsidR="00570BA8" w:rsidRPr="002A4310" w:rsidRDefault="00570BA8" w:rsidP="00570BA8">
      <w:pPr>
        <w:rPr>
          <w:color w:val="FF0000"/>
          <w:sz w:val="20"/>
        </w:rPr>
      </w:pPr>
    </w:p>
    <w:p w14:paraId="2C9940C6" w14:textId="77777777" w:rsidR="00570BA8" w:rsidRPr="002A4310" w:rsidRDefault="00570BA8" w:rsidP="00570BA8">
      <w:pPr>
        <w:rPr>
          <w:color w:val="FF0000"/>
          <w:sz w:val="20"/>
        </w:rPr>
      </w:pPr>
    </w:p>
    <w:p w14:paraId="0E56C818" w14:textId="77777777" w:rsidR="00570BA8" w:rsidRPr="002A4310" w:rsidRDefault="00570BA8" w:rsidP="00570BA8">
      <w:pPr>
        <w:rPr>
          <w:color w:val="FF0000"/>
          <w:sz w:val="20"/>
        </w:rPr>
      </w:pPr>
    </w:p>
    <w:p w14:paraId="3247043B" w14:textId="77777777" w:rsidR="00570BA8" w:rsidRPr="002A4310" w:rsidRDefault="00570BA8" w:rsidP="00570BA8">
      <w:pPr>
        <w:rPr>
          <w:color w:val="FF0000"/>
          <w:sz w:val="20"/>
        </w:rPr>
      </w:pPr>
    </w:p>
    <w:p w14:paraId="697A1828" w14:textId="77777777" w:rsidR="00570BA8" w:rsidRPr="002A4310" w:rsidRDefault="00570BA8" w:rsidP="00570BA8">
      <w:pPr>
        <w:rPr>
          <w:color w:val="FF0000"/>
          <w:sz w:val="20"/>
        </w:rPr>
      </w:pPr>
    </w:p>
    <w:p w14:paraId="0BFDB6BD" w14:textId="77777777" w:rsidR="00570BA8" w:rsidRPr="00372F7F" w:rsidRDefault="00570BA8" w:rsidP="00570BA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240"/>
        <w:rPr>
          <w:b/>
          <w:sz w:val="20"/>
          <w:lang w:val="en-AU"/>
        </w:rPr>
      </w:pPr>
      <w:r>
        <w:rPr>
          <w:b/>
          <w:sz w:val="20"/>
          <w:lang w:val="en-AU"/>
        </w:rPr>
        <w:t>Note:</w:t>
      </w:r>
    </w:p>
    <w:p w14:paraId="1F581BF9" w14:textId="77777777" w:rsidR="00570BA8" w:rsidRPr="00C72AEF" w:rsidRDefault="00570BA8" w:rsidP="00570BA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C72AEF">
        <w:rPr>
          <w:sz w:val="20"/>
          <w:lang w:val="en-AU"/>
        </w:rPr>
        <w:t xml:space="preserve">This variation will be published in the Commonwealth of Australia Gazette No. FSC </w:t>
      </w:r>
      <w:r w:rsidRPr="00A25FDE">
        <w:rPr>
          <w:sz w:val="20"/>
          <w:szCs w:val="20"/>
          <w:lang w:val="en-AU"/>
        </w:rPr>
        <w:t xml:space="preserve">FSC </w:t>
      </w:r>
      <w:r w:rsidRPr="00365779">
        <w:rPr>
          <w:sz w:val="20"/>
          <w:szCs w:val="20"/>
          <w:lang w:val="en-AU"/>
        </w:rPr>
        <w:t xml:space="preserve">140 on 22 April </w:t>
      </w:r>
      <w:r w:rsidRPr="00570BA8">
        <w:rPr>
          <w:sz w:val="20"/>
          <w:szCs w:val="20"/>
          <w:lang w:val="en-AU"/>
        </w:rPr>
        <w:t>2021</w:t>
      </w:r>
      <w:r>
        <w:rPr>
          <w:sz w:val="20"/>
          <w:lang w:val="en-AU"/>
        </w:rPr>
        <w:t xml:space="preserve">. </w:t>
      </w:r>
      <w:r w:rsidRPr="00570BA8">
        <w:rPr>
          <w:sz w:val="20"/>
          <w:lang w:val="en-AU"/>
        </w:rPr>
        <w:t>This</w:t>
      </w:r>
      <w:r w:rsidRPr="00C72AEF">
        <w:rPr>
          <w:sz w:val="20"/>
          <w:lang w:val="en-AU"/>
        </w:rPr>
        <w:t xml:space="preserve"> means that this date is the gazettal date for the purposes of </w:t>
      </w:r>
      <w:r w:rsidRPr="00462FB4">
        <w:rPr>
          <w:sz w:val="20"/>
        </w:rPr>
        <w:t>clause 3 of the variation</w:t>
      </w:r>
      <w:r w:rsidRPr="00C72AEF">
        <w:rPr>
          <w:sz w:val="20"/>
          <w:lang w:val="en-AU"/>
        </w:rPr>
        <w:t>.</w:t>
      </w:r>
    </w:p>
    <w:p w14:paraId="1235D27C" w14:textId="77777777" w:rsidR="00570BA8" w:rsidRPr="002A4310" w:rsidRDefault="00570BA8" w:rsidP="00570BA8">
      <w:pPr>
        <w:rPr>
          <w:color w:val="FF0000"/>
        </w:rPr>
      </w:pPr>
    </w:p>
    <w:p w14:paraId="35D8AD46" w14:textId="77777777" w:rsidR="00570BA8" w:rsidRPr="002A4310" w:rsidRDefault="00570BA8" w:rsidP="00570BA8">
      <w:pPr>
        <w:rPr>
          <w:color w:val="FF0000"/>
        </w:rPr>
      </w:pPr>
      <w:r w:rsidRPr="002A4310">
        <w:rPr>
          <w:color w:val="FF0000"/>
        </w:rPr>
        <w:br w:type="page"/>
      </w:r>
    </w:p>
    <w:p w14:paraId="547C222E" w14:textId="77777777" w:rsidR="00570BA8" w:rsidRPr="002A4310" w:rsidRDefault="00570BA8" w:rsidP="00570BA8">
      <w:pPr>
        <w:pStyle w:val="FSCDraftingitemheading"/>
      </w:pPr>
      <w:r w:rsidRPr="002A4310">
        <w:lastRenderedPageBreak/>
        <w:t>1</w:t>
      </w:r>
      <w:r w:rsidRPr="002A4310">
        <w:tab/>
        <w:t>Name</w:t>
      </w:r>
    </w:p>
    <w:p w14:paraId="3938310D" w14:textId="77777777" w:rsidR="00570BA8" w:rsidRPr="002A4310" w:rsidRDefault="00570BA8" w:rsidP="00570BA8">
      <w:pPr>
        <w:pStyle w:val="FSCDraftingitem"/>
      </w:pPr>
      <w:r w:rsidRPr="002A4310">
        <w:t xml:space="preserve">This instrument is the </w:t>
      </w:r>
      <w:r w:rsidRPr="002A4310">
        <w:rPr>
          <w:i/>
        </w:rPr>
        <w:t>Food Standards (Application A1202 – Food derived from</w:t>
      </w:r>
      <w:r w:rsidRPr="00662FDD">
        <w:rPr>
          <w:i/>
        </w:rPr>
        <w:t xml:space="preserve"> </w:t>
      </w:r>
      <w:r w:rsidRPr="002A4310">
        <w:rPr>
          <w:i/>
        </w:rPr>
        <w:t>herbicide-tolerant</w:t>
      </w:r>
      <w:r>
        <w:rPr>
          <w:i/>
        </w:rPr>
        <w:t xml:space="preserve"> and</w:t>
      </w:r>
      <w:r w:rsidRPr="002A4310">
        <w:rPr>
          <w:i/>
        </w:rPr>
        <w:t xml:space="preserve"> insect-protected corn line </w:t>
      </w:r>
      <w:r>
        <w:rPr>
          <w:i/>
        </w:rPr>
        <w:t>DP</w:t>
      </w:r>
      <w:r w:rsidRPr="002A4310">
        <w:rPr>
          <w:i/>
        </w:rPr>
        <w:t>23211) Variation</w:t>
      </w:r>
      <w:r w:rsidRPr="002A4310">
        <w:t>.</w:t>
      </w:r>
    </w:p>
    <w:p w14:paraId="3BBEA09B" w14:textId="77777777" w:rsidR="00570BA8" w:rsidRPr="002A4310" w:rsidRDefault="00570BA8" w:rsidP="00570BA8">
      <w:pPr>
        <w:pStyle w:val="FSCDraftingitemheading"/>
      </w:pPr>
      <w:r w:rsidRPr="002A4310">
        <w:t>2</w:t>
      </w:r>
      <w:r w:rsidRPr="002A4310">
        <w:tab/>
        <w:t xml:space="preserve">Variation to a Standard in the </w:t>
      </w:r>
      <w:r w:rsidRPr="002A4310">
        <w:rPr>
          <w:i/>
        </w:rPr>
        <w:t>Australia New Zealand Food Standards Code</w:t>
      </w:r>
    </w:p>
    <w:p w14:paraId="1B242ED5" w14:textId="77777777" w:rsidR="00570BA8" w:rsidRPr="002A4310" w:rsidRDefault="00570BA8" w:rsidP="00570BA8">
      <w:pPr>
        <w:pStyle w:val="FSCDraftingitem"/>
      </w:pPr>
      <w:r w:rsidRPr="002A4310">
        <w:t xml:space="preserve">The Schedule varies a </w:t>
      </w:r>
      <w:r>
        <w:t>S</w:t>
      </w:r>
      <w:r w:rsidRPr="002A4310">
        <w:t xml:space="preserve">tandard in the </w:t>
      </w:r>
      <w:r w:rsidRPr="002A4310">
        <w:rPr>
          <w:i/>
        </w:rPr>
        <w:t>Australia New Zealand Food Standards Code</w:t>
      </w:r>
      <w:r w:rsidRPr="002A4310">
        <w:t>.</w:t>
      </w:r>
    </w:p>
    <w:p w14:paraId="562550A8" w14:textId="77777777" w:rsidR="00570BA8" w:rsidRPr="002A4310" w:rsidRDefault="00570BA8" w:rsidP="00570BA8">
      <w:pPr>
        <w:pStyle w:val="FSCDraftingitemheading"/>
      </w:pPr>
      <w:r w:rsidRPr="002A4310">
        <w:t>3</w:t>
      </w:r>
      <w:r w:rsidRPr="002A4310">
        <w:tab/>
        <w:t>Commencement</w:t>
      </w:r>
    </w:p>
    <w:p w14:paraId="70942E78" w14:textId="77777777" w:rsidR="00570BA8" w:rsidRPr="002A4310" w:rsidRDefault="00570BA8" w:rsidP="00570BA8">
      <w:pPr>
        <w:pStyle w:val="FSCDraftingitem"/>
      </w:pPr>
      <w:r w:rsidRPr="002A4310">
        <w:t>The variation commences on the date of gazettal.</w:t>
      </w:r>
    </w:p>
    <w:p w14:paraId="7FC7B1F1" w14:textId="77777777" w:rsidR="00570BA8" w:rsidRPr="002A4310" w:rsidRDefault="00570BA8" w:rsidP="00570BA8">
      <w:pPr>
        <w:pStyle w:val="FSCDraftingitemheading"/>
        <w:jc w:val="center"/>
      </w:pPr>
      <w:r w:rsidRPr="002A4310">
        <w:t>Schedule</w:t>
      </w:r>
    </w:p>
    <w:p w14:paraId="2B027099" w14:textId="77777777" w:rsidR="00570BA8" w:rsidRPr="002A4310" w:rsidRDefault="00570BA8" w:rsidP="00570BA8">
      <w:pPr>
        <w:pStyle w:val="FSCDraftingitem"/>
      </w:pPr>
      <w:r w:rsidRPr="002A4310">
        <w:rPr>
          <w:b/>
        </w:rPr>
        <w:t>[1]</w:t>
      </w:r>
      <w:r w:rsidRPr="002A4310">
        <w:rPr>
          <w:b/>
        </w:rPr>
        <w:tab/>
        <w:t>Schedule 26</w:t>
      </w:r>
      <w:r w:rsidRPr="002A4310">
        <w:t xml:space="preserve"> is varied by inserting in the table to subsection S26—3(4) in alphabetical order under item 2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P23211"/>
        <w:tblDescription w:val="(zb) herbicide-tolerant and insect-protected corn line DP23211"/>
      </w:tblPr>
      <w:tblGrid>
        <w:gridCol w:w="903"/>
        <w:gridCol w:w="1190"/>
        <w:gridCol w:w="6979"/>
      </w:tblGrid>
      <w:tr w:rsidR="00570BA8" w:rsidRPr="002A4310" w14:paraId="0F2F0C41" w14:textId="77777777" w:rsidTr="00301A56">
        <w:trPr>
          <w:cantSplit/>
        </w:trPr>
        <w:tc>
          <w:tcPr>
            <w:tcW w:w="903" w:type="dxa"/>
          </w:tcPr>
          <w:p w14:paraId="17A675C7" w14:textId="77777777" w:rsidR="00570BA8" w:rsidRPr="002A4310" w:rsidRDefault="00570BA8" w:rsidP="00301A56">
            <w:pPr>
              <w:pStyle w:val="FSCtblPara"/>
              <w:rPr>
                <w:color w:val="FF0000"/>
              </w:rPr>
            </w:pPr>
          </w:p>
        </w:tc>
        <w:tc>
          <w:tcPr>
            <w:tcW w:w="1190" w:type="dxa"/>
          </w:tcPr>
          <w:p w14:paraId="6800FEC0" w14:textId="77777777" w:rsidR="00570BA8" w:rsidRPr="00C4435F" w:rsidRDefault="00570BA8" w:rsidP="00301A56">
            <w:pPr>
              <w:pStyle w:val="FSCtblPara"/>
            </w:pPr>
          </w:p>
        </w:tc>
        <w:tc>
          <w:tcPr>
            <w:tcW w:w="6979" w:type="dxa"/>
          </w:tcPr>
          <w:p w14:paraId="0939F314" w14:textId="77777777" w:rsidR="00570BA8" w:rsidRPr="00A540F5" w:rsidRDefault="00570BA8" w:rsidP="00301A56">
            <w:pPr>
              <w:pStyle w:val="FSCtblPara"/>
              <w:rPr>
                <w:rFonts w:ascii="Arial" w:hAnsi="Arial"/>
              </w:rPr>
            </w:pPr>
            <w:r w:rsidRPr="00A540F5">
              <w:rPr>
                <w:rFonts w:ascii="Arial" w:hAnsi="Arial"/>
              </w:rPr>
              <w:t xml:space="preserve">(zd) </w:t>
            </w:r>
            <w:r w:rsidRPr="00A540F5">
              <w:rPr>
                <w:rFonts w:ascii="Arial" w:hAnsi="Arial"/>
              </w:rPr>
              <w:tab/>
              <w:t>herbicide-tolerant and insect-protected corn line DP23211</w:t>
            </w:r>
          </w:p>
        </w:tc>
      </w:tr>
    </w:tbl>
    <w:p w14:paraId="60CA140C" w14:textId="77777777" w:rsidR="00570BA8" w:rsidRPr="00570BA8" w:rsidRDefault="00570BA8" w:rsidP="00FB73FC"/>
    <w:sectPr w:rsidR="00570BA8" w:rsidRPr="00570BA8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904B8" w14:textId="77777777" w:rsidR="00301A56" w:rsidRDefault="00301A56" w:rsidP="00C12FD4">
      <w:r>
        <w:separator/>
      </w:r>
    </w:p>
  </w:endnote>
  <w:endnote w:type="continuationSeparator" w:id="0">
    <w:p w14:paraId="65CF3037" w14:textId="77777777" w:rsidR="00301A56" w:rsidRDefault="00301A56" w:rsidP="00C12FD4">
      <w:r>
        <w:continuationSeparator/>
      </w:r>
    </w:p>
  </w:endnote>
  <w:endnote w:type="continuationNotice" w:id="1">
    <w:p w14:paraId="1C790127" w14:textId="77777777" w:rsidR="00726BD7" w:rsidRDefault="00726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B0880" w14:textId="77777777" w:rsidR="00301A56" w:rsidRDefault="00301A56" w:rsidP="00C12FD4">
      <w:r>
        <w:separator/>
      </w:r>
    </w:p>
  </w:footnote>
  <w:footnote w:type="continuationSeparator" w:id="0">
    <w:p w14:paraId="4D54E936" w14:textId="77777777" w:rsidR="00301A56" w:rsidRDefault="00301A56" w:rsidP="00C12FD4">
      <w:r>
        <w:continuationSeparator/>
      </w:r>
    </w:p>
  </w:footnote>
  <w:footnote w:type="continuationNotice" w:id="1">
    <w:p w14:paraId="7DA43994" w14:textId="77777777" w:rsidR="00726BD7" w:rsidRDefault="00726B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5899"/>
    <w:multiLevelType w:val="hybridMultilevel"/>
    <w:tmpl w:val="4CFA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4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567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D4"/>
    <w:rsid w:val="0000542C"/>
    <w:rsid w:val="00041643"/>
    <w:rsid w:val="000622E7"/>
    <w:rsid w:val="00066854"/>
    <w:rsid w:val="00066D85"/>
    <w:rsid w:val="00070A32"/>
    <w:rsid w:val="000A38F8"/>
    <w:rsid w:val="000F2196"/>
    <w:rsid w:val="00141A32"/>
    <w:rsid w:val="001734EA"/>
    <w:rsid w:val="00184403"/>
    <w:rsid w:val="00191770"/>
    <w:rsid w:val="001A6289"/>
    <w:rsid w:val="001C5126"/>
    <w:rsid w:val="001E696B"/>
    <w:rsid w:val="002232B1"/>
    <w:rsid w:val="00234C31"/>
    <w:rsid w:val="00301A56"/>
    <w:rsid w:val="0033021F"/>
    <w:rsid w:val="00341D25"/>
    <w:rsid w:val="00365779"/>
    <w:rsid w:val="003A01FB"/>
    <w:rsid w:val="003F336B"/>
    <w:rsid w:val="00404702"/>
    <w:rsid w:val="00441D77"/>
    <w:rsid w:val="00443F05"/>
    <w:rsid w:val="00447CCB"/>
    <w:rsid w:val="00486619"/>
    <w:rsid w:val="004D3868"/>
    <w:rsid w:val="004E6694"/>
    <w:rsid w:val="0054036E"/>
    <w:rsid w:val="00570BA8"/>
    <w:rsid w:val="005B578D"/>
    <w:rsid w:val="005C1996"/>
    <w:rsid w:val="00647864"/>
    <w:rsid w:val="006B6900"/>
    <w:rsid w:val="006D473E"/>
    <w:rsid w:val="006F2F05"/>
    <w:rsid w:val="007201F8"/>
    <w:rsid w:val="00726BD7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42896"/>
    <w:rsid w:val="009806A5"/>
    <w:rsid w:val="009E265A"/>
    <w:rsid w:val="009F7EBD"/>
    <w:rsid w:val="00A25B29"/>
    <w:rsid w:val="00A26F82"/>
    <w:rsid w:val="00A540F5"/>
    <w:rsid w:val="00A808E9"/>
    <w:rsid w:val="00B53154"/>
    <w:rsid w:val="00B64571"/>
    <w:rsid w:val="00B72074"/>
    <w:rsid w:val="00BC2133"/>
    <w:rsid w:val="00BD5FCB"/>
    <w:rsid w:val="00BE4F3A"/>
    <w:rsid w:val="00C019A6"/>
    <w:rsid w:val="00C12FD4"/>
    <w:rsid w:val="00C551E1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7283B"/>
    <w:rsid w:val="00E9409E"/>
    <w:rsid w:val="00EC65E9"/>
    <w:rsid w:val="00F4105E"/>
    <w:rsid w:val="00F616DA"/>
    <w:rsid w:val="00F76F95"/>
    <w:rsid w:val="00FB73FC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C4489D"/>
  <w15:chartTrackingRefBased/>
  <w15:docId w15:val="{6CFB4D51-517D-4585-AC89-932E8663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2" w:qFormat="1"/>
    <w:lsdException w:name="heading 2" w:locked="1" w:semiHidden="1" w:uiPriority="2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locked="1" w:semiHidden="1" w:uiPriority="3" w:unhideWhenUsed="1" w:qFormat="1"/>
    <w:lsdException w:name="footer" w:locked="1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141A32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570BA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570BA8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570BA8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tblPara">
    <w:name w:val="FSC_tbl_Para"/>
    <w:basedOn w:val="Normal"/>
    <w:rsid w:val="00570BA8"/>
    <w:pPr>
      <w:keepLines/>
      <w:spacing w:before="60" w:after="60"/>
      <w:ind w:left="397" w:hanging="397"/>
    </w:pPr>
    <w:rPr>
      <w:rFonts w:eastAsia="Times New Roman" w:cs="Arial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7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3FC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3FC"/>
    <w:rPr>
      <w:rFonts w:cstheme="minorBid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F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093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226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X3VAMR3A5FUY-552-7911</_dlc_DocId>
    <_dlc_DocIdUrl xmlns="ff5de93e-c5e8-4efc-a1bd-21450292fcfe">
      <Url>http://teams/Sections/RAP/_layouts/15/DocIdRedir.aspx?ID=X3VAMR3A5FUY-552-7911</Url>
      <Description>X3VAMR3A5FUY-552-7911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C52A89F9-34A0-41C0-9EF0-7A4814B9A75D}"/>
</file>

<file path=customXml/itemProps2.xml><?xml version="1.0" encoding="utf-8"?>
<ds:datastoreItem xmlns:ds="http://schemas.openxmlformats.org/officeDocument/2006/customXml" ds:itemID="{CD5E1D39-FBC7-4629-9A74-F27BDF702A99}"/>
</file>

<file path=customXml/itemProps3.xml><?xml version="1.0" encoding="utf-8"?>
<ds:datastoreItem xmlns:ds="http://schemas.openxmlformats.org/officeDocument/2006/customXml" ds:itemID="{B03CE5CE-6AA8-4A2E-9B40-C51F3D94DBF9}"/>
</file>

<file path=customXml/itemProps4.xml><?xml version="1.0" encoding="utf-8"?>
<ds:datastoreItem xmlns:ds="http://schemas.openxmlformats.org/officeDocument/2006/customXml" ds:itemID="{C52A89F9-34A0-41C0-9EF0-7A4814B9A7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5E1D39-FBC7-4629-9A74-F27BDF702A9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f5de93e-c5e8-4efc-a1bd-21450292fcfe"/>
    <ds:schemaRef ds:uri="ec50576e-4a27-4780-a1e1-e59563bc70b8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1F29D7D-887C-4B1E-82A5-2EC5E6373B72}"/>
</file>

<file path=customXml/itemProps7.xml><?xml version="1.0" encoding="utf-8"?>
<ds:datastoreItem xmlns:ds="http://schemas.openxmlformats.org/officeDocument/2006/customXml" ds:itemID="{703BC412-96EC-4E1E-8081-084687DB2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Tailee Vecchi</cp:lastModifiedBy>
  <cp:revision>2</cp:revision>
  <dcterms:created xsi:type="dcterms:W3CDTF">2021-04-22T01:26:00Z</dcterms:created>
  <dcterms:modified xsi:type="dcterms:W3CDTF">2021-04-22T01:26:00Z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731e790d-6a1a-4d9a-b918-b52fd2f2c314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0x0101001900262E4D4C454882FD5FB486F98AD4</vt:lpwstr>
  </property>
  <property fmtid="{D5CDD505-2E9C-101B-9397-08002B2CF9AE}" pid="8" name="_dlc_DocIdItemGuid">
    <vt:lpwstr>314ec0f3-4681-48fa-ad1c-39935133e7f7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</Properties>
</file>